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1C5D9" w14:textId="77777777" w:rsidR="00FB25BB" w:rsidRPr="00FB25BB" w:rsidRDefault="00FB25BB" w:rsidP="00FB25BB">
      <w:pPr>
        <w:rPr>
          <w:rFonts w:ascii="Times New Roman" w:hAnsi="Times New Roman" w:cs="Times New Roman"/>
        </w:rPr>
      </w:pPr>
      <w:r w:rsidRPr="00FB25BB">
        <w:rPr>
          <w:rFonts w:ascii="Times New Roman" w:hAnsi="Times New Roman" w:cs="Times New Roman"/>
        </w:rPr>
        <w:t>Student’s Name</w:t>
      </w:r>
    </w:p>
    <w:p w14:paraId="495FEB2D" w14:textId="77777777" w:rsidR="00FB25BB" w:rsidRPr="00FB25BB" w:rsidRDefault="00FB25BB" w:rsidP="00FB25BB">
      <w:pPr>
        <w:rPr>
          <w:rFonts w:ascii="Times New Roman" w:hAnsi="Times New Roman" w:cs="Times New Roman"/>
        </w:rPr>
      </w:pPr>
      <w:r w:rsidRPr="00FB25BB">
        <w:rPr>
          <w:rFonts w:ascii="Times New Roman" w:hAnsi="Times New Roman" w:cs="Times New Roman"/>
        </w:rPr>
        <w:t>Professors’ Name</w:t>
      </w:r>
    </w:p>
    <w:p w14:paraId="7FCDF2EA" w14:textId="77777777" w:rsidR="00FB25BB" w:rsidRPr="00FB25BB" w:rsidRDefault="00FB25BB" w:rsidP="00FB25BB">
      <w:pPr>
        <w:rPr>
          <w:rFonts w:ascii="Times New Roman" w:hAnsi="Times New Roman" w:cs="Times New Roman"/>
        </w:rPr>
      </w:pPr>
      <w:r w:rsidRPr="00FB25BB">
        <w:rPr>
          <w:rFonts w:ascii="Times New Roman" w:hAnsi="Times New Roman" w:cs="Times New Roman"/>
        </w:rPr>
        <w:t>Course</w:t>
      </w:r>
    </w:p>
    <w:p w14:paraId="1AECE57C" w14:textId="77777777" w:rsidR="00FB25BB" w:rsidRPr="00FB25BB" w:rsidRDefault="00FB25BB" w:rsidP="00FB25BB">
      <w:pPr>
        <w:rPr>
          <w:rFonts w:ascii="Times New Roman" w:hAnsi="Times New Roman" w:cs="Times New Roman"/>
        </w:rPr>
      </w:pPr>
      <w:r w:rsidRPr="00FB25BB">
        <w:rPr>
          <w:rFonts w:ascii="Times New Roman" w:hAnsi="Times New Roman" w:cs="Times New Roman"/>
        </w:rPr>
        <w:t>Date</w:t>
      </w:r>
    </w:p>
    <w:p w14:paraId="0D2C7DDF" w14:textId="77777777" w:rsidR="00FB25BB" w:rsidRPr="00FB25BB" w:rsidRDefault="00FB25BB" w:rsidP="00BB2E68">
      <w:pPr>
        <w:spacing w:line="480" w:lineRule="auto"/>
        <w:jc w:val="center"/>
        <w:rPr>
          <w:rFonts w:ascii="Times New Roman" w:hAnsi="Times New Roman" w:cs="Times New Roman"/>
        </w:rPr>
      </w:pPr>
      <w:r w:rsidRPr="00FB25BB">
        <w:rPr>
          <w:rFonts w:ascii="Times New Roman" w:hAnsi="Times New Roman" w:cs="Times New Roman"/>
        </w:rPr>
        <w:t>How the Suffrage Movement Impacted Women's Rights in Canada</w:t>
      </w:r>
    </w:p>
    <w:p w14:paraId="7EE593D9" w14:textId="77777777" w:rsidR="00FB25BB" w:rsidRPr="00FB25BB" w:rsidRDefault="00FB25BB" w:rsidP="00BB2E68">
      <w:pPr>
        <w:spacing w:line="480" w:lineRule="auto"/>
        <w:jc w:val="both"/>
        <w:rPr>
          <w:rFonts w:ascii="Times New Roman" w:hAnsi="Times New Roman" w:cs="Times New Roman"/>
        </w:rPr>
      </w:pPr>
      <w:r w:rsidRPr="00FB25BB">
        <w:rPr>
          <w:rFonts w:ascii="Times New Roman" w:hAnsi="Times New Roman" w:cs="Times New Roman"/>
        </w:rPr>
        <w:t>Introduction</w:t>
      </w:r>
    </w:p>
    <w:p w14:paraId="4865E2BE" w14:textId="77777777"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Started in the early 1870s, suffrage movement involved campaigns that aimed at raising the voice of the women as far as their rights were concerned. The main objective was to seek equality in terms of education, employment, politics and other matters that were perceived to create gender inequality. The movement rose due to the increasing claims by the people that the women were placed in back rooms when sensitive issues such as political decisions were being made. In this connection, the movement employed use of various method to solve the problem such as the administration of activist networks across the country and globally to analyze the scenario.</w:t>
      </w:r>
    </w:p>
    <w:p w14:paraId="07B8770E" w14:textId="77777777" w:rsidR="00FB25BB" w:rsidRPr="00FB25BB" w:rsidRDefault="00FB25BB" w:rsidP="00BB2E68">
      <w:pPr>
        <w:spacing w:line="480" w:lineRule="auto"/>
        <w:jc w:val="both"/>
        <w:rPr>
          <w:rFonts w:ascii="Times New Roman" w:hAnsi="Times New Roman" w:cs="Times New Roman"/>
        </w:rPr>
      </w:pPr>
    </w:p>
    <w:p w14:paraId="2D4C7086" w14:textId="393D49A3" w:rsidR="00FB25BB" w:rsidRPr="00FB25BB" w:rsidRDefault="00FB25BB" w:rsidP="00BB2E68">
      <w:pPr>
        <w:spacing w:line="480" w:lineRule="auto"/>
        <w:jc w:val="both"/>
        <w:rPr>
          <w:rFonts w:ascii="Times New Roman" w:hAnsi="Times New Roman" w:cs="Times New Roman"/>
        </w:rPr>
      </w:pPr>
      <w:r w:rsidRPr="00FB25BB">
        <w:rPr>
          <w:rFonts w:ascii="Times New Roman" w:hAnsi="Times New Roman" w:cs="Times New Roman"/>
        </w:rPr>
        <w:t>How the Movem</w:t>
      </w:r>
      <w:r w:rsidR="00BB2E68">
        <w:rPr>
          <w:rFonts w:ascii="Times New Roman" w:hAnsi="Times New Roman" w:cs="Times New Roman"/>
        </w:rPr>
        <w:t>ent Affected the Women’s Rights</w:t>
      </w:r>
    </w:p>
    <w:p w14:paraId="6944844E" w14:textId="45F7CC61"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The movement push for rights equality enabled the women to vote to make them part of political conclusions. The federal vote granted enabled the activation of a universal right which meant that women would make decisions regarding the future of their nation through voting. Despite the fact that the women were depicted as people who should stay behind scenes, through the allocation of various tasks such as support of men’s careers and families, the right to vote significantly pushed their welfare to a higher level. This is because they were now able to control the government elements that consequently le</w:t>
      </w:r>
      <w:r w:rsidR="00BB2E68">
        <w:rPr>
          <w:rFonts w:ascii="Times New Roman" w:hAnsi="Times New Roman" w:cs="Times New Roman"/>
        </w:rPr>
        <w:t>d to their welfare improvement.</w:t>
      </w:r>
    </w:p>
    <w:p w14:paraId="53204ED5" w14:textId="1B0526C0"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 xml:space="preserve">Moreover, after the legalization of the women’s say in the political field, their vote led to the opening of various opportunities that were not available earlier. For example, they were able to obtain </w:t>
      </w:r>
      <w:r w:rsidRPr="00FB25BB">
        <w:rPr>
          <w:rFonts w:ascii="Times New Roman" w:hAnsi="Times New Roman" w:cs="Times New Roman"/>
        </w:rPr>
        <w:lastRenderedPageBreak/>
        <w:t>employment opportunities that were viewed as men controlled hence raising their standards of living. Through this factor, economic growth was highly favored due to women’s partic</w:t>
      </w:r>
      <w:r w:rsidR="00BB2E68">
        <w:rPr>
          <w:rFonts w:ascii="Times New Roman" w:hAnsi="Times New Roman" w:cs="Times New Roman"/>
        </w:rPr>
        <w:t>ipation in economic activities.</w:t>
      </w:r>
    </w:p>
    <w:p w14:paraId="7210C7EA" w14:textId="7F634BAB"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The movement also enabled a beginning of a new culture where people from both genders were both regarded as crucial with no underestimation of any. This was majorly contributed by the fact that people from both genders could access various opportunities that were initially allowed to be performed by men. People could now pay attention to the education of both genders without discrimination. Furthermore, the matter brought increased psychological freedom where women could follow their passion in various matters such as their careers. This brought out increase</w:t>
      </w:r>
      <w:r w:rsidR="00BB2E68">
        <w:rPr>
          <w:rFonts w:ascii="Times New Roman" w:hAnsi="Times New Roman" w:cs="Times New Roman"/>
        </w:rPr>
        <w:t>d productivity in the long run.</w:t>
      </w:r>
    </w:p>
    <w:p w14:paraId="08D2553F" w14:textId="5815656B"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Socially, they were an increase in exchange and flow of ideas from one gender to another. This was generally contributed by the fact that people could now mix freely while executing various duties for example in places of work as the women were now allowed take part in various opportunities</w:t>
      </w:r>
      <w:r w:rsidR="00BB2E68" w:rsidRPr="00BB2E68">
        <w:rPr>
          <w:rFonts w:ascii="Times New Roman" w:hAnsi="Times New Roman" w:cs="Times New Roman"/>
          <w:color w:val="222222"/>
          <w:sz w:val="24"/>
          <w:szCs w:val="24"/>
          <w:shd w:val="clear" w:color="auto" w:fill="FFFFFF"/>
        </w:rPr>
        <w:t xml:space="preserve"> </w:t>
      </w:r>
      <w:r w:rsidR="00BB2E68">
        <w:rPr>
          <w:rFonts w:ascii="Times New Roman" w:hAnsi="Times New Roman" w:cs="Times New Roman"/>
          <w:color w:val="222222"/>
          <w:sz w:val="24"/>
          <w:szCs w:val="24"/>
          <w:shd w:val="clear" w:color="auto" w:fill="FFFFFF"/>
        </w:rPr>
        <w:t>(</w:t>
      </w:r>
      <w:r w:rsidR="00BB2E68" w:rsidRPr="00BB2E68">
        <w:rPr>
          <w:rFonts w:ascii="Times New Roman" w:hAnsi="Times New Roman" w:cs="Times New Roman"/>
          <w:color w:val="222222"/>
          <w:sz w:val="24"/>
          <w:szCs w:val="24"/>
          <w:shd w:val="clear" w:color="auto" w:fill="FFFFFF"/>
        </w:rPr>
        <w:t>Agarwal, Bina</w:t>
      </w:r>
      <w:r w:rsidR="00BB2E68">
        <w:rPr>
          <w:rFonts w:ascii="Times New Roman" w:hAnsi="Times New Roman" w:cs="Times New Roman"/>
          <w:color w:val="222222"/>
          <w:sz w:val="24"/>
          <w:szCs w:val="24"/>
          <w:shd w:val="clear" w:color="auto" w:fill="FFFFFF"/>
        </w:rPr>
        <w:t xml:space="preserve"> pg45)</w:t>
      </w:r>
      <w:r w:rsidRPr="00FB25BB">
        <w:rPr>
          <w:rFonts w:ascii="Times New Roman" w:hAnsi="Times New Roman" w:cs="Times New Roman"/>
        </w:rPr>
        <w:t>. Secondly, women ideas were also felt in the political field which contributed to another method of flow of views and ideas as far as the welfare of the country was concerned. Through the movement, women were able to take a firm foundation.</w:t>
      </w:r>
    </w:p>
    <w:p w14:paraId="081D0178" w14:textId="77777777" w:rsidR="00FB25BB" w:rsidRPr="00FB25BB" w:rsidRDefault="00FB25BB" w:rsidP="00BB2E68">
      <w:pPr>
        <w:spacing w:line="480" w:lineRule="auto"/>
        <w:jc w:val="both"/>
        <w:rPr>
          <w:rFonts w:ascii="Times New Roman" w:hAnsi="Times New Roman" w:cs="Times New Roman"/>
        </w:rPr>
      </w:pPr>
      <w:r w:rsidRPr="00FB25BB">
        <w:rPr>
          <w:rFonts w:ascii="Times New Roman" w:hAnsi="Times New Roman" w:cs="Times New Roman"/>
        </w:rPr>
        <w:t>How Women in Law Face Inequality to Day</w:t>
      </w:r>
    </w:p>
    <w:p w14:paraId="5BCE192E" w14:textId="26538572"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Gender inequality effects are also felt in the field of law today. For example, in criminal law, the prejudice who are against female barristers always put more trust in the male clients</w:t>
      </w:r>
      <w:r w:rsidR="00BB2E68">
        <w:rPr>
          <w:rFonts w:ascii="Times New Roman" w:hAnsi="Times New Roman" w:cs="Times New Roman"/>
        </w:rPr>
        <w:t xml:space="preserve"> (</w:t>
      </w:r>
      <w:r w:rsidR="00BB2E68">
        <w:rPr>
          <w:rFonts w:ascii="Times New Roman" w:hAnsi="Times New Roman" w:cs="Times New Roman"/>
          <w:color w:val="222222"/>
          <w:sz w:val="24"/>
          <w:szCs w:val="24"/>
          <w:shd w:val="clear" w:color="auto" w:fill="FFFFFF"/>
        </w:rPr>
        <w:t>Messerschmidt, James</w:t>
      </w:r>
      <w:r w:rsidR="00BB2E68" w:rsidRPr="00BB2E68">
        <w:rPr>
          <w:rFonts w:ascii="Times New Roman" w:hAnsi="Times New Roman" w:cs="Times New Roman"/>
          <w:color w:val="222222"/>
          <w:sz w:val="24"/>
          <w:szCs w:val="24"/>
          <w:shd w:val="clear" w:color="auto" w:fill="FFFFFF"/>
        </w:rPr>
        <w:t xml:space="preserve"> and Stephen Tomsen</w:t>
      </w:r>
      <w:r w:rsidR="00BB2E68">
        <w:rPr>
          <w:rFonts w:ascii="Times New Roman" w:hAnsi="Times New Roman" w:cs="Times New Roman"/>
          <w:color w:val="222222"/>
          <w:sz w:val="24"/>
          <w:szCs w:val="24"/>
          <w:shd w:val="clear" w:color="auto" w:fill="FFFFFF"/>
        </w:rPr>
        <w:t xml:space="preserve"> pg789)</w:t>
      </w:r>
      <w:r w:rsidR="00BB2E68" w:rsidRPr="00BB2E68">
        <w:rPr>
          <w:rFonts w:ascii="Times New Roman" w:hAnsi="Times New Roman" w:cs="Times New Roman"/>
          <w:color w:val="222222"/>
          <w:sz w:val="24"/>
          <w:szCs w:val="24"/>
          <w:shd w:val="clear" w:color="auto" w:fill="FFFFFF"/>
        </w:rPr>
        <w:t>.</w:t>
      </w:r>
      <w:r w:rsidRPr="00FB25BB">
        <w:rPr>
          <w:rFonts w:ascii="Times New Roman" w:hAnsi="Times New Roman" w:cs="Times New Roman"/>
        </w:rPr>
        <w:t>. This fact is associated with myths such as male professionals’ can handle their duties carefully than female ones. Additionally, men in this field also show a feeling of threat from women which makes it possible for men to fight for monopolization.</w:t>
      </w:r>
    </w:p>
    <w:p w14:paraId="0CA8E995" w14:textId="77777777"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 xml:space="preserve">On this field of law, women face unfair competition since the field is viewed as men dominated. The culture of the people also effects on what people in making it hard to change the perspective since </w:t>
      </w:r>
      <w:r w:rsidRPr="00FB25BB">
        <w:rPr>
          <w:rFonts w:ascii="Times New Roman" w:hAnsi="Times New Roman" w:cs="Times New Roman"/>
        </w:rPr>
        <w:lastRenderedPageBreak/>
        <w:t>people from ancient times believed that law is man’s professional. The culture contributes to reduced opportunities economically since the best paying jobs are passed to male professionals’.</w:t>
      </w:r>
    </w:p>
    <w:p w14:paraId="4715B3DF" w14:textId="77777777" w:rsidR="00FB25BB" w:rsidRPr="00FB25BB" w:rsidRDefault="00FB25BB" w:rsidP="00BB2E68">
      <w:pPr>
        <w:spacing w:line="480" w:lineRule="auto"/>
        <w:jc w:val="both"/>
        <w:rPr>
          <w:rFonts w:ascii="Times New Roman" w:hAnsi="Times New Roman" w:cs="Times New Roman"/>
        </w:rPr>
      </w:pPr>
      <w:r w:rsidRPr="00FB25BB">
        <w:rPr>
          <w:rFonts w:ascii="Times New Roman" w:hAnsi="Times New Roman" w:cs="Times New Roman"/>
        </w:rPr>
        <w:t>Women in law also face inequality today through the scenarios where they are being viewed as inferiors which mostly contributes to failure. Since the career involves listening to people views and ideas to draw a general conclusion, the female professionals are always viewed as inferior as far as their ideas are concerned.</w:t>
      </w:r>
    </w:p>
    <w:p w14:paraId="26A25B70" w14:textId="77777777" w:rsidR="00FB25BB" w:rsidRPr="00FB25BB" w:rsidRDefault="00FB25BB" w:rsidP="00BB2E68">
      <w:pPr>
        <w:spacing w:line="480" w:lineRule="auto"/>
        <w:ind w:firstLine="720"/>
        <w:jc w:val="both"/>
        <w:rPr>
          <w:rFonts w:ascii="Times New Roman" w:hAnsi="Times New Roman" w:cs="Times New Roman"/>
        </w:rPr>
      </w:pPr>
      <w:r w:rsidRPr="00FB25BB">
        <w:rPr>
          <w:rFonts w:ascii="Times New Roman" w:hAnsi="Times New Roman" w:cs="Times New Roman"/>
        </w:rPr>
        <w:t>Moreover, female in this field of the law face the problem of being depicted as weak since the field is criminal oriented. Through this assumption that women cannot handle criminals, it consequently leads to their discrimination as far as their career is concerned. This consequently leads to reduced opportunities in this field economically.</w:t>
      </w:r>
    </w:p>
    <w:p w14:paraId="5F165C99" w14:textId="77777777" w:rsidR="00BB2E68" w:rsidRDefault="00BB2E68" w:rsidP="00BB2E68">
      <w:pPr>
        <w:spacing w:line="480" w:lineRule="auto"/>
        <w:jc w:val="center"/>
        <w:rPr>
          <w:rFonts w:ascii="Times New Roman" w:hAnsi="Times New Roman" w:cs="Times New Roman"/>
        </w:rPr>
      </w:pPr>
    </w:p>
    <w:p w14:paraId="77EB3F7B" w14:textId="77777777" w:rsidR="00BB2E68" w:rsidRDefault="00BB2E68" w:rsidP="00BB2E68">
      <w:pPr>
        <w:spacing w:line="480" w:lineRule="auto"/>
        <w:jc w:val="center"/>
        <w:rPr>
          <w:rFonts w:ascii="Times New Roman" w:hAnsi="Times New Roman" w:cs="Times New Roman"/>
        </w:rPr>
      </w:pPr>
    </w:p>
    <w:p w14:paraId="16EF5316" w14:textId="77777777" w:rsidR="00BB2E68" w:rsidRDefault="00BB2E68" w:rsidP="00BB2E68">
      <w:pPr>
        <w:spacing w:line="480" w:lineRule="auto"/>
        <w:jc w:val="center"/>
        <w:rPr>
          <w:rFonts w:ascii="Times New Roman" w:hAnsi="Times New Roman" w:cs="Times New Roman"/>
        </w:rPr>
      </w:pPr>
    </w:p>
    <w:p w14:paraId="76534124" w14:textId="77777777" w:rsidR="00BB2E68" w:rsidRDefault="00BB2E68" w:rsidP="00BB2E68">
      <w:pPr>
        <w:spacing w:line="480" w:lineRule="auto"/>
        <w:jc w:val="center"/>
        <w:rPr>
          <w:rFonts w:ascii="Times New Roman" w:hAnsi="Times New Roman" w:cs="Times New Roman"/>
        </w:rPr>
      </w:pPr>
    </w:p>
    <w:p w14:paraId="72F6ED39" w14:textId="77777777" w:rsidR="00BB2E68" w:rsidRDefault="00BB2E68" w:rsidP="00BB2E68">
      <w:pPr>
        <w:spacing w:line="480" w:lineRule="auto"/>
        <w:jc w:val="center"/>
        <w:rPr>
          <w:rFonts w:ascii="Times New Roman" w:hAnsi="Times New Roman" w:cs="Times New Roman"/>
        </w:rPr>
      </w:pPr>
    </w:p>
    <w:p w14:paraId="05F79A53" w14:textId="77777777" w:rsidR="00BB2E68" w:rsidRDefault="00BB2E68" w:rsidP="00BB2E68">
      <w:pPr>
        <w:spacing w:line="480" w:lineRule="auto"/>
        <w:jc w:val="center"/>
        <w:rPr>
          <w:rFonts w:ascii="Times New Roman" w:hAnsi="Times New Roman" w:cs="Times New Roman"/>
        </w:rPr>
      </w:pPr>
    </w:p>
    <w:p w14:paraId="06E803F3" w14:textId="77777777" w:rsidR="00BB2E68" w:rsidRDefault="00BB2E68" w:rsidP="00BB2E68">
      <w:pPr>
        <w:spacing w:line="480" w:lineRule="auto"/>
        <w:jc w:val="center"/>
        <w:rPr>
          <w:rFonts w:ascii="Times New Roman" w:hAnsi="Times New Roman" w:cs="Times New Roman"/>
        </w:rPr>
      </w:pPr>
    </w:p>
    <w:p w14:paraId="0DEC31AF" w14:textId="77777777" w:rsidR="00BB2E68" w:rsidRDefault="00BB2E68" w:rsidP="00BB2E68">
      <w:pPr>
        <w:spacing w:line="480" w:lineRule="auto"/>
        <w:jc w:val="center"/>
        <w:rPr>
          <w:rFonts w:ascii="Times New Roman" w:hAnsi="Times New Roman" w:cs="Times New Roman"/>
        </w:rPr>
      </w:pPr>
    </w:p>
    <w:p w14:paraId="393AC717" w14:textId="77777777" w:rsidR="00BB2E68" w:rsidRDefault="00BB2E68" w:rsidP="00BB2E68">
      <w:pPr>
        <w:spacing w:line="480" w:lineRule="auto"/>
        <w:jc w:val="center"/>
        <w:rPr>
          <w:rFonts w:ascii="Times New Roman" w:hAnsi="Times New Roman" w:cs="Times New Roman"/>
        </w:rPr>
      </w:pPr>
    </w:p>
    <w:p w14:paraId="1EF47FE5" w14:textId="77777777" w:rsidR="00BB2E68" w:rsidRDefault="00BB2E68" w:rsidP="00BB2E68">
      <w:pPr>
        <w:spacing w:line="480" w:lineRule="auto"/>
        <w:jc w:val="center"/>
        <w:rPr>
          <w:rFonts w:ascii="Times New Roman" w:hAnsi="Times New Roman" w:cs="Times New Roman"/>
        </w:rPr>
      </w:pPr>
    </w:p>
    <w:p w14:paraId="47E0AC96" w14:textId="77777777" w:rsidR="00BB2E68" w:rsidRDefault="00BB2E68" w:rsidP="00BB2E68">
      <w:pPr>
        <w:spacing w:line="480" w:lineRule="auto"/>
        <w:rPr>
          <w:rFonts w:ascii="Times New Roman" w:hAnsi="Times New Roman" w:cs="Times New Roman"/>
        </w:rPr>
      </w:pPr>
    </w:p>
    <w:p w14:paraId="3D9AA0F8" w14:textId="3BB9B9B6" w:rsidR="00FB25BB" w:rsidRPr="00FB25BB" w:rsidRDefault="00BB2E68" w:rsidP="00BB2E68">
      <w:pPr>
        <w:spacing w:line="480" w:lineRule="auto"/>
        <w:jc w:val="center"/>
        <w:rPr>
          <w:rFonts w:ascii="Times New Roman" w:hAnsi="Times New Roman" w:cs="Times New Roman"/>
        </w:rPr>
      </w:pPr>
      <w:bookmarkStart w:id="0" w:name="_GoBack"/>
      <w:bookmarkEnd w:id="0"/>
      <w:r>
        <w:rPr>
          <w:rFonts w:ascii="Times New Roman" w:hAnsi="Times New Roman" w:cs="Times New Roman"/>
        </w:rPr>
        <w:lastRenderedPageBreak/>
        <w:t>Works cited</w:t>
      </w:r>
    </w:p>
    <w:p w14:paraId="701E164B" w14:textId="77777777" w:rsidR="00FB25BB" w:rsidRPr="00FB25BB" w:rsidRDefault="00FB25BB" w:rsidP="00BB2E68">
      <w:pPr>
        <w:spacing w:line="480" w:lineRule="auto"/>
        <w:jc w:val="both"/>
        <w:rPr>
          <w:rFonts w:ascii="Times New Roman" w:hAnsi="Times New Roman" w:cs="Times New Roman"/>
        </w:rPr>
      </w:pPr>
    </w:p>
    <w:p w14:paraId="2C5E1B7F" w14:textId="7BB9D4FA" w:rsidR="00503EB7" w:rsidRPr="00BB2E68" w:rsidRDefault="00FB25BB" w:rsidP="00BB2E68">
      <w:pPr>
        <w:spacing w:line="480" w:lineRule="auto"/>
        <w:jc w:val="both"/>
        <w:rPr>
          <w:rFonts w:ascii="Times New Roman" w:hAnsi="Times New Roman" w:cs="Times New Roman"/>
          <w:color w:val="222222"/>
          <w:sz w:val="24"/>
          <w:szCs w:val="24"/>
          <w:shd w:val="clear" w:color="auto" w:fill="FFFFFF"/>
        </w:rPr>
      </w:pPr>
      <w:r w:rsidRPr="00BB2E68">
        <w:rPr>
          <w:rFonts w:ascii="Times New Roman" w:hAnsi="Times New Roman" w:cs="Times New Roman"/>
          <w:color w:val="222222"/>
          <w:sz w:val="24"/>
          <w:szCs w:val="24"/>
          <w:shd w:val="clear" w:color="auto" w:fill="FFFFFF"/>
        </w:rPr>
        <w:t>Messerschmidt, James W., and Stephen Tomsen. "Masculinities and crime." </w:t>
      </w:r>
      <w:r w:rsidRPr="00BB2E68">
        <w:rPr>
          <w:rFonts w:ascii="Times New Roman" w:hAnsi="Times New Roman" w:cs="Times New Roman"/>
          <w:i/>
          <w:iCs/>
          <w:color w:val="222222"/>
          <w:sz w:val="24"/>
          <w:szCs w:val="24"/>
          <w:shd w:val="clear" w:color="auto" w:fill="FFFFFF"/>
        </w:rPr>
        <w:t xml:space="preserve">Routledge Handbook </w:t>
      </w:r>
      <w:r w:rsidR="00BB2E68">
        <w:rPr>
          <w:rFonts w:ascii="Times New Roman" w:hAnsi="Times New Roman" w:cs="Times New Roman"/>
          <w:i/>
          <w:iCs/>
          <w:color w:val="222222"/>
          <w:sz w:val="24"/>
          <w:szCs w:val="24"/>
          <w:shd w:val="clear" w:color="auto" w:fill="FFFFFF"/>
        </w:rPr>
        <w:tab/>
      </w:r>
      <w:r w:rsidRPr="00BB2E68">
        <w:rPr>
          <w:rFonts w:ascii="Times New Roman" w:hAnsi="Times New Roman" w:cs="Times New Roman"/>
          <w:i/>
          <w:iCs/>
          <w:color w:val="222222"/>
          <w:sz w:val="24"/>
          <w:szCs w:val="24"/>
          <w:shd w:val="clear" w:color="auto" w:fill="FFFFFF"/>
        </w:rPr>
        <w:t>of Critical Criminology</w:t>
      </w:r>
      <w:r w:rsidRPr="00BB2E68">
        <w:rPr>
          <w:rFonts w:ascii="Times New Roman" w:hAnsi="Times New Roman" w:cs="Times New Roman"/>
          <w:color w:val="222222"/>
          <w:sz w:val="24"/>
          <w:szCs w:val="24"/>
          <w:shd w:val="clear" w:color="auto" w:fill="FFFFFF"/>
        </w:rPr>
        <w:t>. Routledge, 2018. 83-95.</w:t>
      </w:r>
    </w:p>
    <w:p w14:paraId="3ADAF115" w14:textId="232C7E52" w:rsidR="00FB25BB" w:rsidRPr="00BB2E68" w:rsidRDefault="00FB25BB" w:rsidP="00BB2E68">
      <w:pPr>
        <w:spacing w:line="480" w:lineRule="auto"/>
        <w:jc w:val="both"/>
        <w:rPr>
          <w:rFonts w:ascii="Times New Roman" w:hAnsi="Times New Roman" w:cs="Times New Roman"/>
          <w:sz w:val="24"/>
          <w:szCs w:val="24"/>
        </w:rPr>
      </w:pPr>
      <w:r w:rsidRPr="00BB2E68">
        <w:rPr>
          <w:rFonts w:ascii="Times New Roman" w:hAnsi="Times New Roman" w:cs="Times New Roman"/>
          <w:color w:val="222222"/>
          <w:sz w:val="24"/>
          <w:szCs w:val="24"/>
          <w:shd w:val="clear" w:color="auto" w:fill="FFFFFF"/>
        </w:rPr>
        <w:t xml:space="preserve">Agarwal, Bina. "Gender, Property, and Land Rights: Bridging a critical gap in economic analysis </w:t>
      </w:r>
      <w:r w:rsidR="00BB2E68">
        <w:rPr>
          <w:rFonts w:ascii="Times New Roman" w:hAnsi="Times New Roman" w:cs="Times New Roman"/>
          <w:color w:val="222222"/>
          <w:sz w:val="24"/>
          <w:szCs w:val="24"/>
          <w:shd w:val="clear" w:color="auto" w:fill="FFFFFF"/>
        </w:rPr>
        <w:tab/>
      </w:r>
      <w:r w:rsidRPr="00BB2E68">
        <w:rPr>
          <w:rFonts w:ascii="Times New Roman" w:hAnsi="Times New Roman" w:cs="Times New Roman"/>
          <w:color w:val="222222"/>
          <w:sz w:val="24"/>
          <w:szCs w:val="24"/>
          <w:shd w:val="clear" w:color="auto" w:fill="FFFFFF"/>
        </w:rPr>
        <w:t>and policy 1." </w:t>
      </w:r>
      <w:r w:rsidRPr="00BB2E68">
        <w:rPr>
          <w:rFonts w:ascii="Times New Roman" w:hAnsi="Times New Roman" w:cs="Times New Roman"/>
          <w:i/>
          <w:iCs/>
          <w:color w:val="222222"/>
          <w:sz w:val="24"/>
          <w:szCs w:val="24"/>
          <w:shd w:val="clear" w:color="auto" w:fill="FFFFFF"/>
        </w:rPr>
        <w:t>Gender and Rights</w:t>
      </w:r>
      <w:r w:rsidRPr="00BB2E68">
        <w:rPr>
          <w:rFonts w:ascii="Times New Roman" w:hAnsi="Times New Roman" w:cs="Times New Roman"/>
          <w:color w:val="222222"/>
          <w:sz w:val="24"/>
          <w:szCs w:val="24"/>
          <w:shd w:val="clear" w:color="auto" w:fill="FFFFFF"/>
        </w:rPr>
        <w:t>. Routledge, 2017. 119-149.</w:t>
      </w:r>
    </w:p>
    <w:sectPr w:rsidR="00FB25BB" w:rsidRPr="00BB2E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8FC3FD" w14:textId="77777777" w:rsidR="00100D3C" w:rsidRDefault="00100D3C" w:rsidP="008932CF">
      <w:pPr>
        <w:spacing w:after="0" w:line="240" w:lineRule="auto"/>
      </w:pPr>
      <w:r>
        <w:separator/>
      </w:r>
    </w:p>
  </w:endnote>
  <w:endnote w:type="continuationSeparator" w:id="0">
    <w:p w14:paraId="22A88652" w14:textId="77777777" w:rsidR="00100D3C" w:rsidRDefault="00100D3C" w:rsidP="00893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5B7CE" w14:textId="77777777" w:rsidR="00100D3C" w:rsidRDefault="00100D3C" w:rsidP="008932CF">
      <w:pPr>
        <w:spacing w:after="0" w:line="240" w:lineRule="auto"/>
      </w:pPr>
      <w:r>
        <w:separator/>
      </w:r>
    </w:p>
  </w:footnote>
  <w:footnote w:type="continuationSeparator" w:id="0">
    <w:p w14:paraId="46D9B261" w14:textId="77777777" w:rsidR="00100D3C" w:rsidRDefault="00100D3C" w:rsidP="00893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D1BEC" w14:textId="77777777" w:rsidR="008932CF" w:rsidRPr="008932CF" w:rsidRDefault="008932CF" w:rsidP="008932CF">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8932CF">
      <w:rPr>
        <w:rFonts w:ascii="Times New Roman" w:hAnsi="Times New Roman" w:cs="Times New Roman"/>
        <w:sz w:val="24"/>
        <w:szCs w:val="24"/>
      </w:rPr>
      <w:fldChar w:fldCharType="begin"/>
    </w:r>
    <w:r w:rsidRPr="008932CF">
      <w:rPr>
        <w:rFonts w:ascii="Times New Roman" w:hAnsi="Times New Roman" w:cs="Times New Roman"/>
        <w:sz w:val="24"/>
        <w:szCs w:val="24"/>
      </w:rPr>
      <w:instrText xml:space="preserve"> PAGE   \* MERGEFORMAT </w:instrText>
    </w:r>
    <w:r w:rsidRPr="008932CF">
      <w:rPr>
        <w:rFonts w:ascii="Times New Roman" w:hAnsi="Times New Roman" w:cs="Times New Roman"/>
        <w:sz w:val="24"/>
        <w:szCs w:val="24"/>
      </w:rPr>
      <w:fldChar w:fldCharType="separate"/>
    </w:r>
    <w:r w:rsidR="00BB2E68">
      <w:rPr>
        <w:rFonts w:ascii="Times New Roman" w:hAnsi="Times New Roman" w:cs="Times New Roman"/>
        <w:noProof/>
        <w:sz w:val="24"/>
        <w:szCs w:val="24"/>
      </w:rPr>
      <w:t>1</w:t>
    </w:r>
    <w:r w:rsidRPr="008932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2CF"/>
    <w:rsid w:val="00100D3C"/>
    <w:rsid w:val="00115092"/>
    <w:rsid w:val="00261D29"/>
    <w:rsid w:val="003606ED"/>
    <w:rsid w:val="004027D0"/>
    <w:rsid w:val="00491A2D"/>
    <w:rsid w:val="004A43EB"/>
    <w:rsid w:val="00503EB7"/>
    <w:rsid w:val="005A4850"/>
    <w:rsid w:val="006E64B5"/>
    <w:rsid w:val="00771F2F"/>
    <w:rsid w:val="008932CF"/>
    <w:rsid w:val="008E37B7"/>
    <w:rsid w:val="00924E25"/>
    <w:rsid w:val="00B56AB0"/>
    <w:rsid w:val="00BB2E68"/>
    <w:rsid w:val="00CA5BA7"/>
    <w:rsid w:val="00DB3046"/>
    <w:rsid w:val="00FB25BB"/>
    <w:rsid w:val="00FB6861"/>
    <w:rsid w:val="00FB7153"/>
    <w:rsid w:val="00FC7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D0486"/>
  <w15:chartTrackingRefBased/>
  <w15:docId w15:val="{BC1121F2-0CF9-473D-9D03-323059DA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2CF"/>
  </w:style>
  <w:style w:type="paragraph" w:styleId="Footer">
    <w:name w:val="footer"/>
    <w:basedOn w:val="Normal"/>
    <w:link w:val="FooterChar"/>
    <w:uiPriority w:val="99"/>
    <w:unhideWhenUsed/>
    <w:rsid w:val="00893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2CF"/>
  </w:style>
  <w:style w:type="character" w:styleId="CommentReference">
    <w:name w:val="annotation reference"/>
    <w:basedOn w:val="DefaultParagraphFont"/>
    <w:uiPriority w:val="99"/>
    <w:semiHidden/>
    <w:unhideWhenUsed/>
    <w:rsid w:val="00491A2D"/>
    <w:rPr>
      <w:sz w:val="16"/>
      <w:szCs w:val="16"/>
    </w:rPr>
  </w:style>
  <w:style w:type="paragraph" w:styleId="CommentText">
    <w:name w:val="annotation text"/>
    <w:basedOn w:val="Normal"/>
    <w:link w:val="CommentTextChar"/>
    <w:uiPriority w:val="99"/>
    <w:semiHidden/>
    <w:unhideWhenUsed/>
    <w:rsid w:val="00491A2D"/>
    <w:pPr>
      <w:spacing w:line="240" w:lineRule="auto"/>
    </w:pPr>
    <w:rPr>
      <w:sz w:val="20"/>
      <w:szCs w:val="20"/>
    </w:rPr>
  </w:style>
  <w:style w:type="character" w:customStyle="1" w:styleId="CommentTextChar">
    <w:name w:val="Comment Text Char"/>
    <w:basedOn w:val="DefaultParagraphFont"/>
    <w:link w:val="CommentText"/>
    <w:uiPriority w:val="99"/>
    <w:semiHidden/>
    <w:rsid w:val="00491A2D"/>
    <w:rPr>
      <w:sz w:val="20"/>
      <w:szCs w:val="20"/>
    </w:rPr>
  </w:style>
  <w:style w:type="paragraph" w:styleId="CommentSubject">
    <w:name w:val="annotation subject"/>
    <w:basedOn w:val="CommentText"/>
    <w:next w:val="CommentText"/>
    <w:link w:val="CommentSubjectChar"/>
    <w:uiPriority w:val="99"/>
    <w:semiHidden/>
    <w:unhideWhenUsed/>
    <w:rsid w:val="00491A2D"/>
    <w:rPr>
      <w:b/>
      <w:bCs/>
    </w:rPr>
  </w:style>
  <w:style w:type="character" w:customStyle="1" w:styleId="CommentSubjectChar">
    <w:name w:val="Comment Subject Char"/>
    <w:basedOn w:val="CommentTextChar"/>
    <w:link w:val="CommentSubject"/>
    <w:uiPriority w:val="99"/>
    <w:semiHidden/>
    <w:rsid w:val="00491A2D"/>
    <w:rPr>
      <w:b/>
      <w:bCs/>
      <w:sz w:val="20"/>
      <w:szCs w:val="20"/>
    </w:rPr>
  </w:style>
  <w:style w:type="paragraph" w:styleId="BalloonText">
    <w:name w:val="Balloon Text"/>
    <w:basedOn w:val="Normal"/>
    <w:link w:val="BalloonTextChar"/>
    <w:uiPriority w:val="99"/>
    <w:semiHidden/>
    <w:unhideWhenUsed/>
    <w:rsid w:val="00491A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3929">
      <w:bodyDiv w:val="1"/>
      <w:marLeft w:val="0"/>
      <w:marRight w:val="0"/>
      <w:marTop w:val="0"/>
      <w:marBottom w:val="0"/>
      <w:divBdr>
        <w:top w:val="none" w:sz="0" w:space="0" w:color="auto"/>
        <w:left w:val="none" w:sz="0" w:space="0" w:color="auto"/>
        <w:bottom w:val="none" w:sz="0" w:space="0" w:color="auto"/>
        <w:right w:val="none" w:sz="0" w:space="0" w:color="auto"/>
      </w:divBdr>
      <w:divsChild>
        <w:div w:id="913666299">
          <w:marLeft w:val="0"/>
          <w:marRight w:val="0"/>
          <w:marTop w:val="0"/>
          <w:marBottom w:val="0"/>
          <w:divBdr>
            <w:top w:val="none" w:sz="0" w:space="0" w:color="auto"/>
            <w:left w:val="none" w:sz="0" w:space="0" w:color="auto"/>
            <w:bottom w:val="none" w:sz="0" w:space="0" w:color="auto"/>
            <w:right w:val="none" w:sz="0" w:space="0" w:color="auto"/>
          </w:divBdr>
          <w:divsChild>
            <w:div w:id="52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8</cp:revision>
  <dcterms:created xsi:type="dcterms:W3CDTF">2018-11-09T13:49:00Z</dcterms:created>
  <dcterms:modified xsi:type="dcterms:W3CDTF">2018-11-09T19:12:00Z</dcterms:modified>
</cp:coreProperties>
</file>